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14356">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A14356" w14:paraId="2DA0C89C" w14:textId="77777777" w:rsidTr="00A14356">
        <w:tc>
          <w:tcPr>
            <w:tcW w:w="1946" w:type="dxa"/>
          </w:tcPr>
          <w:p w14:paraId="52A2B89E" w14:textId="77777777"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4721EF4A" w:rsidR="00A14356" w:rsidRDefault="00A14356" w:rsidP="00A14356">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Multiplettanalyse</w:t>
            </w:r>
          </w:p>
        </w:tc>
      </w:tr>
      <w:tr w:rsidR="00A14356" w14:paraId="20CDF77C" w14:textId="77777777" w:rsidTr="00A14356">
        <w:tc>
          <w:tcPr>
            <w:tcW w:w="1946" w:type="dxa"/>
          </w:tcPr>
          <w:p w14:paraId="0C3CE61C" w14:textId="77777777"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39B1D4F2"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w:t>
            </w:r>
          </w:p>
        </w:tc>
      </w:tr>
      <w:tr w:rsidR="00A14356" w14:paraId="334867CB" w14:textId="77777777" w:rsidTr="00A14356">
        <w:tc>
          <w:tcPr>
            <w:tcW w:w="1946" w:type="dxa"/>
          </w:tcPr>
          <w:p w14:paraId="189C09E5" w14:textId="77777777"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09E2AA3C"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A14356" w14:paraId="2D69D71C" w14:textId="77777777" w:rsidTr="00A14356">
        <w:tc>
          <w:tcPr>
            <w:tcW w:w="1946" w:type="dxa"/>
          </w:tcPr>
          <w:p w14:paraId="7BC29E73" w14:textId="77777777"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0A00FE9E"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w:t>
            </w:r>
            <w:r>
              <w:rPr>
                <w:rFonts w:ascii="Calibri" w:eastAsia="Calibri" w:hAnsi="Calibri" w:cs="Calibri"/>
                <w:sz w:val="22"/>
                <w:szCs w:val="22"/>
                <w:lang w:eastAsia="en-US" w:bidi="ar-SA"/>
              </w:rPr>
              <w:t>22.03.22</w:t>
            </w:r>
          </w:p>
        </w:tc>
      </w:tr>
      <w:tr w:rsidR="00A14356" w14:paraId="03D6C268" w14:textId="77777777" w:rsidTr="00A14356">
        <w:tc>
          <w:tcPr>
            <w:tcW w:w="1946" w:type="dxa"/>
          </w:tcPr>
          <w:p w14:paraId="506E0D89" w14:textId="77777777" w:rsidR="00A14356" w:rsidRDefault="00A14356" w:rsidP="00A14356">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5234051C" w:rsidR="00A14356" w:rsidRDefault="00A14356" w:rsidP="00A14356">
            <w:pPr>
              <w:widowControl w:val="0"/>
              <w:spacing w:line="276" w:lineRule="auto"/>
              <w:rPr>
                <w:rFonts w:ascii="Calibri" w:hAnsi="Calibri" w:cs="Calibri"/>
              </w:rPr>
            </w:pPr>
            <w:r>
              <w:rPr>
                <w:rFonts w:ascii="Calibri" w:eastAsia="Calibri" w:hAnsi="Calibri" w:cs="Calibri"/>
                <w:sz w:val="22"/>
                <w:szCs w:val="22"/>
                <w:lang w:eastAsia="en-US" w:bidi="ar-SA"/>
              </w:rPr>
              <w:t>Die Studierenden lernen eine Multiplettanalyse durchzuführen.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A14356" w14:paraId="0BA80B98" w14:textId="77777777">
        <w:trPr>
          <w:trHeight w:val="1597"/>
        </w:trPr>
        <w:tc>
          <w:tcPr>
            <w:tcW w:w="532" w:type="dxa"/>
          </w:tcPr>
          <w:p w14:paraId="34B09CB8" w14:textId="77777777" w:rsidR="00A14356" w:rsidRDefault="00A14356" w:rsidP="00A1435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B870A0E" w:rsidR="00A14356" w:rsidRDefault="00A14356" w:rsidP="00A14356">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0699ABC8" w:rsidR="00A14356" w:rsidRDefault="00A14356" w:rsidP="00A14356">
            <w:pPr>
              <w:spacing w:line="276" w:lineRule="auto"/>
              <w:rPr>
                <w:rFonts w:eastAsia="Calibri" w:cs="Calibri"/>
                <w:sz w:val="22"/>
                <w:szCs w:val="22"/>
                <w:lang w:eastAsia="en-US" w:bidi="ar-SA"/>
              </w:rPr>
            </w:pPr>
            <w:r>
              <w:t>Hallo, in diesem DigiChem-Video wird Dir der Lösungsweg zur MestReNova-Übung zum Thema Multiplettanalyse vorgestellt.</w:t>
            </w:r>
          </w:p>
        </w:tc>
        <w:tc>
          <w:tcPr>
            <w:tcW w:w="1417" w:type="dxa"/>
          </w:tcPr>
          <w:p w14:paraId="1C1C7B04" w14:textId="77777777" w:rsidR="00A14356" w:rsidRDefault="00A14356" w:rsidP="00A14356">
            <w:pPr>
              <w:widowControl w:val="0"/>
              <w:spacing w:line="276" w:lineRule="auto"/>
              <w:rPr>
                <w:rFonts w:ascii="Calibri" w:eastAsia="Calibri" w:hAnsi="Calibri" w:cs="Calibri"/>
                <w:sz w:val="22"/>
                <w:szCs w:val="22"/>
                <w:lang w:eastAsia="en-US" w:bidi="ar-SA"/>
              </w:rPr>
            </w:pPr>
          </w:p>
        </w:tc>
      </w:tr>
      <w:tr w:rsidR="00A14356" w14:paraId="1EB84A90" w14:textId="77777777">
        <w:trPr>
          <w:trHeight w:val="1597"/>
        </w:trPr>
        <w:tc>
          <w:tcPr>
            <w:tcW w:w="532" w:type="dxa"/>
          </w:tcPr>
          <w:p w14:paraId="05336BDC" w14:textId="77777777" w:rsidR="00A14356" w:rsidRDefault="00A14356" w:rsidP="00A1435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505FD253" w:rsidR="00A14356" w:rsidRDefault="00A14356" w:rsidP="00A1435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07149C9D" w:rsidR="00A14356" w:rsidRDefault="00A14356" w:rsidP="00A14356">
            <w:pPr>
              <w:spacing w:line="276" w:lineRule="auto"/>
              <w:rPr>
                <w:rFonts w:eastAsia="Calibri" w:cs="Calibri"/>
                <w:sz w:val="22"/>
                <w:szCs w:val="22"/>
                <w:lang w:eastAsia="en-US" w:bidi="ar-SA"/>
              </w:rPr>
            </w:pPr>
            <w:r>
              <w:t xml:space="preserve">In dieser Übung soll eine Multiplettanalyse an dem gegebenen </w:t>
            </w:r>
            <w:r w:rsidRPr="008B58FA">
              <w:rPr>
                <w:vertAlign w:val="superscript"/>
              </w:rPr>
              <w:t>1</w:t>
            </w:r>
            <w:r>
              <w:t>H-NMR-Spektrum durchgeführt werden.</w:t>
            </w:r>
          </w:p>
        </w:tc>
        <w:tc>
          <w:tcPr>
            <w:tcW w:w="1417" w:type="dxa"/>
          </w:tcPr>
          <w:p w14:paraId="0482886C" w14:textId="77777777" w:rsidR="00A14356" w:rsidRDefault="00A14356" w:rsidP="00A14356">
            <w:pPr>
              <w:widowControl w:val="0"/>
              <w:spacing w:line="276" w:lineRule="auto"/>
              <w:rPr>
                <w:rFonts w:ascii="Calibri" w:eastAsia="Calibri" w:hAnsi="Calibri" w:cs="Calibri"/>
                <w:sz w:val="22"/>
                <w:szCs w:val="22"/>
                <w:lang w:eastAsia="en-US" w:bidi="ar-SA"/>
              </w:rPr>
            </w:pPr>
          </w:p>
        </w:tc>
      </w:tr>
      <w:tr w:rsidR="00A14356" w14:paraId="1B93B07A" w14:textId="77777777">
        <w:trPr>
          <w:trHeight w:val="1597"/>
        </w:trPr>
        <w:tc>
          <w:tcPr>
            <w:tcW w:w="532" w:type="dxa"/>
          </w:tcPr>
          <w:p w14:paraId="6CD260DA" w14:textId="77777777" w:rsidR="00A14356" w:rsidRDefault="00A14356" w:rsidP="00A1435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DDA804F" w14:textId="3CC8DA13" w:rsidR="00A14356" w:rsidRDefault="00A14356" w:rsidP="00A1435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062D6BC" w14:textId="77777777" w:rsidR="00A14356" w:rsidRDefault="00A14356" w:rsidP="00A14356">
            <w:pPr>
              <w:spacing w:line="276" w:lineRule="auto"/>
            </w:pPr>
            <w:r>
              <w:t>Dazu muss das Spektrum zunächst auf das Lösungsmittel referenziert werden.</w:t>
            </w:r>
          </w:p>
          <w:p w14:paraId="22792CF2" w14:textId="6AD496E0" w:rsidR="00A14356" w:rsidRDefault="00A14356" w:rsidP="00A14356">
            <w:pPr>
              <w:spacing w:line="276" w:lineRule="auto"/>
              <w:rPr>
                <w:rFonts w:eastAsia="Calibri" w:cs="Calibri"/>
                <w:sz w:val="22"/>
                <w:szCs w:val="22"/>
                <w:lang w:eastAsia="en-US" w:bidi="ar-SA"/>
              </w:rPr>
            </w:pPr>
            <w:r>
              <w:t xml:space="preserve">Um herauszufinden, in welchem Lösungsmittel das Spektrum aufgenommen wurde, setzte unter „View“ den Haken bei „Parameters“. Unter dem Eintrag „Solvent“ siehst Du, dass deuteriertes Chloroform verwendet wurde, welches ein Restprotonensignal bei 7,26 ppm zeigt. Vergrößere den </w:t>
            </w:r>
            <w:r>
              <w:lastRenderedPageBreak/>
              <w:t>entsprechenden Bereich mit dem Shortcut „z“ und markiere mit dem Shortcut „l“ das Lösungsmittelsignal.</w:t>
            </w:r>
          </w:p>
        </w:tc>
        <w:tc>
          <w:tcPr>
            <w:tcW w:w="1417" w:type="dxa"/>
          </w:tcPr>
          <w:p w14:paraId="1DBDF604" w14:textId="77777777" w:rsidR="00A14356" w:rsidRDefault="00A14356" w:rsidP="00A14356">
            <w:pPr>
              <w:widowControl w:val="0"/>
              <w:spacing w:line="276" w:lineRule="auto"/>
              <w:rPr>
                <w:rFonts w:ascii="Calibri" w:eastAsia="Calibri" w:hAnsi="Calibri" w:cs="Calibri"/>
                <w:sz w:val="22"/>
                <w:szCs w:val="22"/>
                <w:lang w:eastAsia="en-US" w:bidi="ar-SA"/>
              </w:rPr>
            </w:pPr>
          </w:p>
        </w:tc>
      </w:tr>
      <w:tr w:rsidR="00A14356" w14:paraId="79B44C95" w14:textId="77777777">
        <w:trPr>
          <w:trHeight w:val="1597"/>
        </w:trPr>
        <w:tc>
          <w:tcPr>
            <w:tcW w:w="532" w:type="dxa"/>
          </w:tcPr>
          <w:p w14:paraId="14F477D9" w14:textId="77777777" w:rsidR="00A14356" w:rsidRDefault="00A14356" w:rsidP="00A1435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A6781B" w14:textId="78AD127F" w:rsidR="00A14356" w:rsidRDefault="00A14356" w:rsidP="00A1435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2AB9BC8" w14:textId="77777777" w:rsidR="00A14356" w:rsidRDefault="00A14356" w:rsidP="00A14356">
            <w:pPr>
              <w:spacing w:line="276" w:lineRule="auto"/>
            </w:pPr>
            <w:r>
              <w:t>Führe nun die Multiplettanalyse durch. Nutze dafür den Shortcut „j“ und wähle alle Signale aus, die analysiert werden sollen. Du siehst, dass die chemische Verschiebung, die Multiplizität und das Integral bestimmt werden. Bei den Integralen ist zu beachten, dass MestReNova das erste Integral immer auf eins setzt. Sollte dies nicht richtig sein, so kannst Du mit einem Doppelklick auf die Multiplettinformationen den „Multiplet Manager“ öffnen. Unter „Integral“ kann dann der richtige Wert eingetragen werden. Die anderen Integrale werden dann im Verhältnis dazu automatisch angepasst.</w:t>
            </w:r>
          </w:p>
          <w:p w14:paraId="6A5A6718" w14:textId="2C84150F" w:rsidR="00A14356" w:rsidRDefault="00A14356" w:rsidP="00A14356">
            <w:pPr>
              <w:spacing w:line="276" w:lineRule="auto"/>
              <w:rPr>
                <w:rFonts w:eastAsia="Calibri" w:cs="Calibri"/>
                <w:sz w:val="22"/>
                <w:szCs w:val="22"/>
                <w:lang w:eastAsia="en-US" w:bidi="ar-SA"/>
              </w:rPr>
            </w:pPr>
            <w:r>
              <w:t>Bei diesem Spektrum wird jedes Signal von einem Wasserstoffkern hervorgerufen, die Integralzuordnung stimmt also.</w:t>
            </w:r>
          </w:p>
        </w:tc>
        <w:tc>
          <w:tcPr>
            <w:tcW w:w="1417" w:type="dxa"/>
          </w:tcPr>
          <w:p w14:paraId="2931E1E8" w14:textId="77777777" w:rsidR="00A14356" w:rsidRDefault="00A14356" w:rsidP="00A14356">
            <w:pPr>
              <w:widowControl w:val="0"/>
              <w:spacing w:line="276" w:lineRule="auto"/>
              <w:rPr>
                <w:rFonts w:ascii="Calibri" w:eastAsia="Calibri" w:hAnsi="Calibri" w:cs="Calibri"/>
                <w:sz w:val="22"/>
                <w:szCs w:val="22"/>
                <w:lang w:eastAsia="en-US" w:bidi="ar-SA"/>
              </w:rPr>
            </w:pPr>
          </w:p>
        </w:tc>
      </w:tr>
      <w:tr w:rsidR="00A14356" w14:paraId="75751E56" w14:textId="77777777">
        <w:trPr>
          <w:trHeight w:val="1597"/>
        </w:trPr>
        <w:tc>
          <w:tcPr>
            <w:tcW w:w="532" w:type="dxa"/>
          </w:tcPr>
          <w:p w14:paraId="0BC5114F" w14:textId="77777777" w:rsidR="00A14356" w:rsidRDefault="00A14356" w:rsidP="00A1435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235ADE3" w14:textId="6228AC46" w:rsidR="00A14356" w:rsidRDefault="00A14356" w:rsidP="00A1435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D65F2BD" w14:textId="77777777" w:rsidR="00A14356" w:rsidRDefault="00A14356" w:rsidP="00A14356">
            <w:pPr>
              <w:spacing w:line="276" w:lineRule="auto"/>
            </w:pPr>
            <w:r>
              <w:t>Anstatt alle Signale einzeln auszuwählen, kannst Du alternativ auch unter „Analysis“ „Auto Multiplet Analysis“ auswählen. Dabei führt MestReNova die Multiplettanalyse automatisch durch. Außerdem werden in der Regel das Lösungsmittel- und das Wassersignal markiert.</w:t>
            </w:r>
          </w:p>
          <w:p w14:paraId="005C9B0F" w14:textId="5B1E196C" w:rsidR="00A14356" w:rsidRDefault="00A14356" w:rsidP="00A14356">
            <w:pPr>
              <w:spacing w:line="276" w:lineRule="auto"/>
              <w:rPr>
                <w:rFonts w:eastAsia="Calibri" w:cs="Calibri"/>
                <w:sz w:val="22"/>
                <w:szCs w:val="22"/>
                <w:lang w:eastAsia="en-US" w:bidi="ar-SA"/>
              </w:rPr>
            </w:pPr>
            <w:r>
              <w:t>Achtung: Auch bei der „Auto Multiplet Analysis“ ist ein vorheriges Referenzieren nötig!</w:t>
            </w:r>
          </w:p>
        </w:tc>
        <w:tc>
          <w:tcPr>
            <w:tcW w:w="1417" w:type="dxa"/>
          </w:tcPr>
          <w:p w14:paraId="7BB54DC3" w14:textId="77777777" w:rsidR="00A14356" w:rsidRDefault="00A14356" w:rsidP="00A14356">
            <w:pPr>
              <w:widowControl w:val="0"/>
              <w:spacing w:line="276" w:lineRule="auto"/>
              <w:rPr>
                <w:rFonts w:ascii="Calibri" w:eastAsia="Calibri" w:hAnsi="Calibri" w:cs="Calibri"/>
                <w:sz w:val="22"/>
                <w:szCs w:val="22"/>
                <w:lang w:eastAsia="en-US" w:bidi="ar-SA"/>
              </w:rPr>
            </w:pPr>
          </w:p>
        </w:tc>
      </w:tr>
      <w:tr w:rsidR="00A14356" w14:paraId="683C14FA" w14:textId="77777777">
        <w:trPr>
          <w:trHeight w:val="1597"/>
        </w:trPr>
        <w:tc>
          <w:tcPr>
            <w:tcW w:w="532" w:type="dxa"/>
          </w:tcPr>
          <w:p w14:paraId="49C44A21" w14:textId="77777777" w:rsidR="00A14356" w:rsidRDefault="00A14356" w:rsidP="00A1435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2D4AD91C" w:rsidR="00A14356" w:rsidRDefault="00A14356" w:rsidP="00A14356">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2B77E402" w:rsidR="00A14356" w:rsidRDefault="00A14356" w:rsidP="00A14356">
            <w:pPr>
              <w:spacing w:line="276" w:lineRule="auto"/>
            </w:pPr>
            <w:r w:rsidRPr="001E779B">
              <w:t xml:space="preserve">In diesem DigiChem-Video </w:t>
            </w:r>
            <w:r>
              <w:t>wurde Dir gezeigt, wie Du die Übung zum Thema Multiplettanalyse bearbeitest.</w:t>
            </w:r>
          </w:p>
        </w:tc>
        <w:tc>
          <w:tcPr>
            <w:tcW w:w="1417" w:type="dxa"/>
          </w:tcPr>
          <w:p w14:paraId="3E268EAB" w14:textId="5499540B" w:rsidR="00A14356" w:rsidRDefault="00A14356" w:rsidP="00A14356">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02:05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4CB8" w14:textId="77777777" w:rsidR="0026433D" w:rsidRDefault="0026433D">
      <w:r>
        <w:separator/>
      </w:r>
    </w:p>
  </w:endnote>
  <w:endnote w:type="continuationSeparator" w:id="0">
    <w:p w14:paraId="40850718" w14:textId="77777777" w:rsidR="0026433D" w:rsidRDefault="0026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EE06" w14:textId="77777777" w:rsidR="0026433D" w:rsidRDefault="0026433D">
      <w:r>
        <w:separator/>
      </w:r>
    </w:p>
  </w:footnote>
  <w:footnote w:type="continuationSeparator" w:id="0">
    <w:p w14:paraId="7B28F13D" w14:textId="77777777" w:rsidR="0026433D" w:rsidRDefault="0026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46E1103"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Das Drehbuch</w:t>
    </w:r>
    <w:r w:rsidR="00A14356">
      <w:rPr>
        <w:rFonts w:asciiTheme="minorHAnsi" w:hAnsiTheme="minorHAnsi" w:cstheme="minorHAnsi"/>
        <w:sz w:val="22"/>
      </w:rPr>
      <w:t xml:space="preserve"> von</w:t>
    </w:r>
    <w:r w:rsidR="00934E6E" w:rsidRPr="00934E6E">
      <w:rPr>
        <w:rFonts w:asciiTheme="minorHAnsi" w:hAnsiTheme="minorHAnsi" w:cstheme="minorHAnsi"/>
        <w:sz w:val="22"/>
      </w:rPr>
      <w:t xml:space="preserve"> </w:t>
    </w:r>
    <w:r w:rsidR="00A14356">
      <w:rPr>
        <w:rFonts w:asciiTheme="minorHAnsi" w:hAnsiTheme="minorHAnsi" w:cstheme="minorHAnsi"/>
        <w:sz w:val="22"/>
      </w:rPr>
      <w:t>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6433D"/>
    <w:rsid w:val="002E578D"/>
    <w:rsid w:val="00325D8C"/>
    <w:rsid w:val="00384C5B"/>
    <w:rsid w:val="00546F86"/>
    <w:rsid w:val="00631D01"/>
    <w:rsid w:val="0083720C"/>
    <w:rsid w:val="00934E6E"/>
    <w:rsid w:val="00942537"/>
    <w:rsid w:val="00A14356"/>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2022-11-13T09:59:00Z</dcterms:modified>
  <dc:language>de-DE</dc:language>
</cp:coreProperties>
</file>